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483</w:t>
      </w:r>
    </w:p>
    <w:p>
      <w:r>
        <w:t>Bundesgericht (BGE), 2006-02-07, DE</w:t>
      </w:r>
    </w:p>
    <w:p>
      <w:r>
        <w:rPr>
          <w:b/>
        </w:rPr>
        <w:t xml:space="preserve">Quelle: </w:t>
      </w:r>
      <w:r>
        <w:t>https://mcp.opencaselaw.ch/entscheid/bge_132 III 483</w:t>
      </w:r>
    </w:p>
    <w:p>
      <w:r>
        <w:t>FR: ATF 132 III 483</w:t>
      </w:r>
    </w:p>
    <w:p>
      <w:r>
        <w:t>IT: DTF 132 III 483</w:t>
      </w:r>
    </w:p>
    <w:p>
      <w:pPr>
        <w:pStyle w:val="Heading2"/>
      </w:pPr>
      <w:r>
        <w:t>Regeste</w:t>
      </w:r>
    </w:p>
    <w:p>
      <w:r>
        <w:t>Regeste Einkommenspfändung; Berechnung des Existenzminimums (Art. 93 Abs. 1 SchKG). Grundbetrag in einem Fall, da die Schuldnerin mit ihrer erwerbstätigen volljährigen Tochter eine Wohngemeinschaft bildet (E. 4). Höhe des Beitrags der Tochter an die Wohnkosten (E. 5).</w:t>
      </w:r>
    </w:p>
    <w:p>
      <w:pPr>
        <w:pStyle w:val="Heading2"/>
      </w:pPr>
      <w:r>
        <w:t>Erwägungen</w:t>
      </w:r>
    </w:p>
    <w:p>
      <w:r>
        <w:rPr>
          <w:b/>
        </w:rPr>
        <w:t>E. 4</w:t>
      </w:r>
    </w:p>
    <w:p>
      <w:r>
        <w:t>Die Beschwerdeführerin lebt nach den Feststellungen der kantonalen Aufsichtsbehörde in Wohngemeinschaft mit ihrer 24-jährigen Tochter, die einer Erwerbstätigkeit nachgeht. Dass die Tochter ihren Lebensunterhalt nicht (vollumfänglich) selbst zu bestreiten vermöchte und auf finanzielle Unterstützung durch die Beschwerdeführerin angewiesen wäre, ist dem angefochtenen Entscheid nicht zu entnehmen. Zu bestimmen ist mithin das rein persönliche Existenzminimum der Beschwerdeführerin.</w:t>
      </w:r>
    </w:p>
    <w:p>
      <w:r>
        <w:rPr>
          <w:b/>
        </w:rPr>
        <w:t>E. 4.1</w:t>
      </w:r>
    </w:p>
    <w:p>
      <w:r>
        <w:t>Das Kantonsgericht hat ausdrücklich auf die von der Konferenz der Betreibungs- und Konkursbeamten der Schweiz herausgegebenen (in der Fassung vom 24. November 2000 in BlSchK 2001 S. 14 ff. veröffentlichten) Richtlinien abgestellt. Als Grundbetrag (für Nahrung, Kleidung und Wäsche, Körper- und Gesundheitspflege, Unterhalt der Wohnungseinrichtung, Kulturelles, Beleuchtung und Kochstrom bzw. -gas) setzte es die Hälfte der für ein Ehepaar oder für "zwei andere eine dauernde Hausgemeinschaft bildende erwachsene Personen" empfohlenen Pauschale von monatlich Fr. 1'550.- (Ziff. I/3) ein. Dem hält die Beschwerdeführerin entgegen, dass es nicht angehe, ihre Tochter die Hälfte der Kosten des Haushaltes tragen zu lassen. BGE 132 III 483 S. 485</w:t>
      </w:r>
    </w:p>
    <w:p>
      <w:r>
        <w:rPr>
          <w:b/>
        </w:rPr>
        <w:t>E. 4.2</w:t>
      </w:r>
    </w:p>
    <w:p>
      <w:r>
        <w:t>In der Wohngemeinschaft der Beschwerdeführerin mit ihrer Tochter erblickt die Vorinstanz eine Hausgemeinschaft im Sinne von Ziff. I/3 der genannten Richtlinien. Mit der dort neben der Ehe erwähnten "dauernden" Hausgemeinschaft ist hauptsächlich ein Konkubinatsverhältnis gemeint (vgl. BGE 130 III 765 E. 2.3 und 2.4 S. 767 f.; ALFRED BÜHLER, Aktuelle Probleme bei der Existenzminimumberechnung, in: SJZ 100/2004 S. 26). Voraussetzung einer Gleichstellung mit der Ehe ist auf jeden Fall, dass die Hausgemeinschaft partnerschaftlicher Natur ist. Nur bei einer solchen ist nämlich anzunehmen, dass beide Personen - im Verhältnis ihrer wirtschaftlichen Leistungsfähigkeit (dazu BGE 114 III 12 E. 3 S. 15 f.) bzw. zu gleichen Teilen (dazu BGE 128 III 159 ) - nicht nur an die Wohnkosten, sondern etwa auch an die Aufwendungen für Nahrung oder Kulturelles beitragen, und ist es deshalb gerechtfertigt, bei der Festlegung des Grundbedarfs die Gemeinschaft als Ganzes zu behandeln und vom entsprechenden Pauschalbetrag auszugehen. Die von einer Mutter und ihrer 24-jährigen erwerbstätigen Tochter gebildete Wohngemeinschaft lässt sich mit einer Gemeinschaft der angeführten Art nicht vergleichen. Die Richtlinien der Konferenz der Betreibungs- und Konkursbeamten der Schweiz bestimmen denn auch, dass der Arbeitserwerb volljähriger in häuslicher Gemeinschaft mit dem Schuldner lebender Kinder bei der Berechnung des Existenzminimums grundsätzlich einzig insofern zu berücksichtigen sei, als ein angemessener Anteil von den Wohnkosten (Mietzins und Heizung) des Schuldners abzuziehen sei (Ziff. IV/2 Abs. 2 und Ziff. V/2). Indem die Vorinstanz der Beschwerdeführerin (nur) den halben Grundbetrag für Ehepaare bzw. für zwei andere eine dauernde Hausgemeinschaft bildende erwachsene Personen zugestanden hat, hat sie der Tochter in sachlich nicht gerechtfertigter Weise zugemutet, (zur Hälfte) an die allgemeinen Kosten des Haushalts beizutragen und damit von dem ihr zustehenden Ermessen einen falschen Gebrauch gemacht.</w:t>
      </w:r>
    </w:p>
    <w:p>
      <w:r>
        <w:rPr>
          <w:b/>
        </w:rPr>
        <w:t>E. 4.3</w:t>
      </w:r>
    </w:p>
    <w:p>
      <w:r>
        <w:t>Das Existenzminimum der Beschwerdeführerin ist nach dem Gesagten auf Grund einer Einzelrechnung zu ermitteln, d.h. es ist von dem für einen alleinstehenden Schuldner empfohlenen Grundbetrag (von Fr. 1'100.-; Ziff. I/1 der Richtlinien der Konferenz der Betreibungs- und Konkursbeamten der Schweiz) auszugehen. Gewisse von diesem Grundbetrag zu deckende Auslagen werden möglicherweise nicht von der Beschwerdeführerin allein bestritten, sondern von der im gleichen Haushalt lebenden Tochter mitgetragen, BGE 132 III 483 S. 486 was eine Reduktion zu rechtfertigen vermöchte. In diesem Sinne sehen beispielsweise die in den Kantonen Aargau und Zürich erlassenen Richtlinien für die Berechnung des betreibungsrechtlichen Existenzminimums für einen alleinstehenden Schuldner in Haushaltgemeinschaft mit erwachsenen Personen eine (pauschale) Herabsetzung des Grundbetrags um Fr. 100.- (auf Fr. 1'000.-) vor (für den Kanton Aargau: Richtlinien vom 3. Januar 2001, SAR 231.191, Ziff. I/2; für den Kanton Zürich: Kreisschreiben der Verwaltungskommission des Obergerichts vom 23. Mai 2001, veröffentlicht in: ZR 100/2001 Nr. 46 S. 153 ff., Ziff. II/1.1). Wie viel vom Grundbetrag allenfalls abzuziehen ist, hat in Anwendung des nach Art. 93 Abs. 1 SchKG eingeräumten Ermessens das Betreibungsamt bzw. die kantonale Aufsichtsbehörde zu beurteilen. Hinsichtlich des vom Kantonsgericht bei der Ermittlung des Notbedarfs eingesetzten Grundbetrags ist der angefochtene Entscheid mithin aufzuheben und die Sache zu neuer Beurteilung an die Vorinstanz zurückzuweisen.</w:t>
      </w:r>
    </w:p>
    <w:p>
      <w:r>
        <w:rPr>
          <w:b/>
        </w:rPr>
        <w:t>E. 5</w:t>
      </w:r>
    </w:p>
    <w:p>
      <w:r>
        <w:t>Die Beschwerdeführerin beanstandet ferner, dass ihr bei den Wohnkosten nur die Hälfte des Mietzinses für die von ihr und ihrer Tochter belegte Wohnung zugestanden wurde. Wie bereits oben (E. 4.2) erwähnt, bestimmen die Richtlinien der Konferenz der Betreibungs- und Konkursbeamten der Schweiz für einen Fall der vorliegenden Art, dass bei der Ermittlung des Existenzminimums des Schuldners ein angemessener Anteil von den Wohnkosten (Mietzins und Heizung) abzuziehen sei (Ziff. V/2). Aus dem angefochtenen Entscheid ergibt sich nicht, dass die Tochter nicht berechtigt wäre, die Wohnung im gleichen Ausmass zu nutzen wie die Beschwerdeführerin. Etwas anderes macht auch diese selbst nicht geltend. Die Beschwerdeführerin begnügt sich mit einem Hinweis auf GEORGES VONDER MÜHLL (Kommentar zum SchKG, Basel 1998, N. 26 zu Art. 93 SchKG ), der lediglich das in der erwähnten Bestimmung der Richtlinien der Konferenz der Betreibungs- und Konkursbeamten der Schweiz Festgelegte bestätigt. Weshalb in ihrem Fall die Halbierung der Wohnkosten - wie nach dem angerufenen Autor beim Zusammenleben zweier erwachsener Personen üblich - nicht angemessen sein soll, legt sie nicht dar und ist auch nicht ersichtlich. Insbesondere bringt die Beschwerdeführerin nicht etwa vor, dass die Tochter unterstützungsbedürftig und sie ihr gegenüber unterstützungspflichtig wäre und sie dieser Pflicht in Form einer günstigen Beherbergung nachkomme. Die Beschwerde ist in diesem Punkt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